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16" w:rsidRDefault="00785116" w:rsidP="00DE6085">
      <w:pPr>
        <w:pStyle w:val="iu"/>
      </w:pPr>
      <w:bookmarkStart w:id="0" w:name="_GoBack"/>
      <w:r>
        <w:t xml:space="preserve">MỘT SỐ LƯU Ý TRONG ĐĂNG KÝ XÉT TUYỂN ĐẠI HỌC, </w:t>
      </w:r>
    </w:p>
    <w:p w:rsidR="00785116" w:rsidRDefault="00785116" w:rsidP="00DE6085">
      <w:pPr>
        <w:pStyle w:val="iu"/>
      </w:pPr>
      <w:r>
        <w:t>CAO ĐẲNG NGÀNH GIÁO DỤC MẦM NON NĂM 2022</w:t>
      </w:r>
    </w:p>
    <w:bookmarkEnd w:id="0"/>
    <w:p w:rsidR="00785116" w:rsidRDefault="00785116" w:rsidP="00DE6085">
      <w:pPr>
        <w:pStyle w:val="iu"/>
      </w:pPr>
    </w:p>
    <w:p w:rsidR="00785116" w:rsidRPr="00C6777F" w:rsidRDefault="00785116" w:rsidP="00DE6085">
      <w:pPr>
        <w:pStyle w:val="iu"/>
      </w:pPr>
      <w:r>
        <w:t xml:space="preserve">Điều 19. </w:t>
      </w:r>
      <w:r w:rsidRPr="00C6777F">
        <w:t>Đăng ký xét tuyển trên hệ thống theo kế hoạch chung</w:t>
      </w:r>
    </w:p>
    <w:p w:rsidR="00785116" w:rsidRPr="00A96C79" w:rsidRDefault="00785116" w:rsidP="00785116">
      <w:pPr>
        <w:pStyle w:val="BodyText"/>
        <w:widowControl w:val="0"/>
        <w:spacing w:after="0"/>
        <w:ind w:left="57" w:right="57"/>
        <w:rPr>
          <w:color w:val="FF0000"/>
          <w:szCs w:val="28"/>
          <w:lang w:val="sv-SE"/>
        </w:rPr>
      </w:pPr>
      <w:r w:rsidRPr="004A7EB0">
        <w:rPr>
          <w:szCs w:val="28"/>
          <w:lang w:val="sv-SE"/>
        </w:rPr>
        <w:t>1. Bộ GDĐT hỗ trợ tổ chức đăng ký xét tuyển đợt 1 đào tạo chính quy cho tất cả</w:t>
      </w:r>
      <w:r w:rsidRPr="004A7EB0">
        <w:rPr>
          <w:szCs w:val="28"/>
          <w:lang w:val="vi-VN"/>
        </w:rPr>
        <w:t xml:space="preserve"> phương thức tuyển sinh</w:t>
      </w:r>
      <w:r w:rsidRPr="004A7EB0">
        <w:rPr>
          <w:szCs w:val="28"/>
          <w:lang w:val="sv-SE"/>
        </w:rPr>
        <w:t xml:space="preserve"> của các c</w:t>
      </w:r>
      <w:r w:rsidRPr="004A7EB0">
        <w:rPr>
          <w:szCs w:val="28"/>
          <w:lang w:val="vi-VN"/>
        </w:rPr>
        <w:t>ơ sở đào tạo</w:t>
      </w:r>
      <w:r w:rsidRPr="004A7EB0">
        <w:rPr>
          <w:szCs w:val="28"/>
          <w:lang w:val="sv-SE"/>
        </w:rPr>
        <w:t xml:space="preserve">. </w:t>
      </w:r>
      <w:r w:rsidRPr="00A96C79">
        <w:rPr>
          <w:color w:val="FF0000"/>
          <w:szCs w:val="28"/>
          <w:lang w:val="sv-SE"/>
        </w:rPr>
        <w:t>Thời gian đăng ký bắt đầu sau kỳ thi tốt nghiệp THPT và kết thúc sau khi có kết quả thi và xét tốt nghiệp THPT.</w:t>
      </w:r>
    </w:p>
    <w:p w:rsidR="00785116" w:rsidRPr="004A7EB0" w:rsidRDefault="00785116" w:rsidP="00785116">
      <w:pPr>
        <w:pStyle w:val="BodyText"/>
        <w:widowControl w:val="0"/>
        <w:spacing w:after="0"/>
        <w:ind w:left="57" w:right="57"/>
        <w:rPr>
          <w:szCs w:val="28"/>
          <w:lang w:val="sv-SE"/>
        </w:rPr>
      </w:pPr>
      <w:r w:rsidRPr="004A7EB0">
        <w:rPr>
          <w:szCs w:val="28"/>
          <w:lang w:val="sv-SE"/>
        </w:rPr>
        <w:t>2. Thí sinh dự tuyển đợt 1 đào tạo chính quy (bao gồm cả những thí sinh đã dự tuyển theo kế hoạch xét tuyển sớm của cơ sở đào tạo) thực hiện đăng ký xét tuyển trên hệ thống (qua Cổng thông tin tuyển sinh của Bộ GDĐT hoặc qua Cổng dịch vụ công quốc gia) theo kế hoạch chung và hướng dẫn của Bộ GDĐT.</w:t>
      </w:r>
    </w:p>
    <w:p w:rsidR="00785116" w:rsidRPr="004A7EB0" w:rsidRDefault="00785116" w:rsidP="00785116">
      <w:pPr>
        <w:pStyle w:val="BodyText"/>
        <w:widowControl w:val="0"/>
        <w:spacing w:after="0"/>
        <w:ind w:left="57" w:right="57"/>
        <w:rPr>
          <w:szCs w:val="28"/>
          <w:lang w:val="sv-SE"/>
        </w:rPr>
      </w:pPr>
      <w:r w:rsidRPr="004A7EB0">
        <w:rPr>
          <w:szCs w:val="28"/>
          <w:lang w:val="sv-SE"/>
        </w:rPr>
        <w:t xml:space="preserve">3. Thí sinh được đăng ký nguyện vọng vào nhiều ngành, nhiều trường khác nhau không hạn chế số lượng, nhưng </w:t>
      </w:r>
      <w:r w:rsidRPr="004A7EB0">
        <w:rPr>
          <w:szCs w:val="28"/>
          <w:lang w:val="vi-VN"/>
        </w:rPr>
        <w:t xml:space="preserve">phải sắp xếp </w:t>
      </w:r>
      <w:r w:rsidRPr="004A7EB0">
        <w:rPr>
          <w:szCs w:val="28"/>
          <w:lang w:val="sv-SE"/>
        </w:rPr>
        <w:t xml:space="preserve">các nguyện vọng </w:t>
      </w:r>
      <w:r w:rsidRPr="004A7EB0">
        <w:rPr>
          <w:szCs w:val="28"/>
          <w:lang w:val="vi-VN"/>
        </w:rPr>
        <w:t>theo thứ tự ưu tiên từ cao xuống thấp</w:t>
      </w:r>
      <w:r w:rsidRPr="004A7EB0">
        <w:rPr>
          <w:szCs w:val="28"/>
          <w:lang w:val="sv-SE"/>
        </w:rPr>
        <w:t>. Trong trường hợp nhiều nguyện vọng đủ điều kiện trúng tuyển, thí sinh chỉ được công nhận trúng tuyển và gọi nhập học theo nguyện vọng cao nhất.</w:t>
      </w:r>
    </w:p>
    <w:p w:rsidR="00785116" w:rsidRPr="004A7EB0" w:rsidRDefault="00785116" w:rsidP="00785116">
      <w:pPr>
        <w:pStyle w:val="BodyText"/>
        <w:widowControl w:val="0"/>
        <w:spacing w:after="0"/>
        <w:ind w:left="57" w:right="57"/>
        <w:rPr>
          <w:szCs w:val="28"/>
          <w:lang w:val="sv-SE"/>
        </w:rPr>
      </w:pPr>
      <w:r w:rsidRPr="004A7EB0">
        <w:rPr>
          <w:szCs w:val="28"/>
          <w:lang w:val="sv-SE"/>
        </w:rPr>
        <w:t>4. Thí sinh thể hiện nguyện vọng của mình qua những lựa chọn trên hệ thống hỗ trợ tuyển sinh (theo hướng dẫn của Bộ GDĐT) như sau:</w:t>
      </w:r>
    </w:p>
    <w:p w:rsidR="00785116" w:rsidRPr="00C6777F" w:rsidRDefault="00785116" w:rsidP="00785116">
      <w:pPr>
        <w:pStyle w:val="BodyText"/>
        <w:widowControl w:val="0"/>
        <w:spacing w:after="0"/>
        <w:ind w:left="57" w:right="57"/>
        <w:rPr>
          <w:szCs w:val="28"/>
          <w:lang w:val="sv-SE"/>
        </w:rPr>
      </w:pPr>
      <w:r w:rsidRPr="00C6777F">
        <w:rPr>
          <w:szCs w:val="28"/>
          <w:lang w:val="sv-SE"/>
        </w:rPr>
        <w:t>a) Thứ tự ưu tiên của nguyện vọng (số 1 thể hiện nguyện vọng cao nhất);</w:t>
      </w:r>
    </w:p>
    <w:p w:rsidR="00785116" w:rsidRPr="004A7EB0" w:rsidRDefault="00785116" w:rsidP="00785116">
      <w:pPr>
        <w:pStyle w:val="BodyText"/>
        <w:widowControl w:val="0"/>
        <w:spacing w:after="0"/>
        <w:ind w:left="57" w:right="57"/>
        <w:rPr>
          <w:szCs w:val="28"/>
          <w:lang w:val="sv-SE"/>
        </w:rPr>
      </w:pPr>
      <w:r w:rsidRPr="004A7EB0">
        <w:rPr>
          <w:szCs w:val="28"/>
          <w:lang w:val="sv-SE"/>
        </w:rPr>
        <w:t>b) Lựa chọn về cơ sở đào tạo, đơn vị tuyển sinh (mã trường);</w:t>
      </w:r>
    </w:p>
    <w:p w:rsidR="00785116" w:rsidRPr="004A7EB0" w:rsidRDefault="00785116" w:rsidP="00785116">
      <w:pPr>
        <w:pStyle w:val="BodyText"/>
        <w:widowControl w:val="0"/>
        <w:spacing w:after="0"/>
        <w:ind w:left="57" w:right="57"/>
        <w:rPr>
          <w:szCs w:val="28"/>
          <w:lang w:val="sv-SE"/>
        </w:rPr>
      </w:pPr>
      <w:r w:rsidRPr="004A7EB0">
        <w:rPr>
          <w:szCs w:val="28"/>
          <w:lang w:val="sv-SE"/>
        </w:rPr>
        <w:t>c) Lựa chọn ngành, nhóm ngành, chương trình đào tạo (mã ngành);</w:t>
      </w:r>
    </w:p>
    <w:p w:rsidR="00785116" w:rsidRPr="004A7EB0" w:rsidRDefault="00785116" w:rsidP="00785116">
      <w:pPr>
        <w:pStyle w:val="BodyText"/>
        <w:widowControl w:val="0"/>
        <w:spacing w:after="0"/>
        <w:ind w:left="57" w:right="57"/>
        <w:rPr>
          <w:szCs w:val="28"/>
          <w:lang w:val="sv-SE"/>
        </w:rPr>
      </w:pPr>
      <w:r w:rsidRPr="004A7EB0">
        <w:rPr>
          <w:szCs w:val="28"/>
          <w:lang w:val="sv-SE"/>
        </w:rPr>
        <w:t>d) Lựa chọn phương thức tuyển sinh (mã phương thức);</w:t>
      </w:r>
    </w:p>
    <w:p w:rsidR="00785116" w:rsidRPr="004A7EB0" w:rsidRDefault="00785116" w:rsidP="00785116">
      <w:pPr>
        <w:pStyle w:val="BodyText"/>
        <w:widowControl w:val="0"/>
        <w:spacing w:after="0"/>
        <w:ind w:left="57" w:right="57"/>
        <w:rPr>
          <w:szCs w:val="28"/>
          <w:lang w:val="sv-SE"/>
        </w:rPr>
      </w:pPr>
      <w:r w:rsidRPr="004A7EB0">
        <w:rPr>
          <w:szCs w:val="28"/>
          <w:lang w:val="sv-SE"/>
        </w:rPr>
        <w:t>đ) Lựa chọn tổ hợp xét tuyển (mã tổ hợp) đối với phương thức xét tuyển dựa trên kết quả kỳ thi theo môn thi, hoặc phương thức xét tuyển dựa trên kết quả học tập các môn học cấp THPT.</w:t>
      </w:r>
    </w:p>
    <w:p w:rsidR="00785116" w:rsidRPr="004A7EB0" w:rsidRDefault="00785116" w:rsidP="00785116">
      <w:pPr>
        <w:pStyle w:val="BodyText"/>
        <w:widowControl w:val="0"/>
        <w:spacing w:after="0"/>
        <w:ind w:left="57" w:right="57"/>
        <w:rPr>
          <w:szCs w:val="28"/>
          <w:lang w:val="sv-SE"/>
        </w:rPr>
      </w:pPr>
      <w:r w:rsidRPr="004A7EB0">
        <w:rPr>
          <w:szCs w:val="28"/>
          <w:lang w:val="sv-SE" w:eastAsia="vi-VN" w:bidi="vi-VN"/>
        </w:rPr>
        <w:t>5.</w:t>
      </w:r>
      <w:r w:rsidRPr="004A7EB0">
        <w:rPr>
          <w:szCs w:val="28"/>
          <w:lang w:val="vi-VN" w:eastAsia="vi-VN" w:bidi="vi-VN"/>
        </w:rPr>
        <w:t>Thí sinh đăng ký xét tuy</w:t>
      </w:r>
      <w:r w:rsidRPr="004A7EB0">
        <w:rPr>
          <w:szCs w:val="28"/>
          <w:lang w:val="sv-SE" w:eastAsia="vi-VN" w:bidi="vi-VN"/>
        </w:rPr>
        <w:t>ể</w:t>
      </w:r>
      <w:r w:rsidRPr="004A7EB0">
        <w:rPr>
          <w:szCs w:val="28"/>
          <w:lang w:val="vi-VN" w:eastAsia="vi-VN" w:bidi="vi-VN"/>
        </w:rPr>
        <w:t xml:space="preserve">n vào các trường </w:t>
      </w:r>
      <w:r w:rsidRPr="004A7EB0">
        <w:rPr>
          <w:szCs w:val="28"/>
          <w:lang w:val="sv-SE" w:eastAsia="vi-VN" w:bidi="vi-VN"/>
        </w:rPr>
        <w:t xml:space="preserve">trực </w:t>
      </w:r>
      <w:r w:rsidRPr="004A7EB0">
        <w:rPr>
          <w:szCs w:val="28"/>
          <w:lang w:val="vi-VN" w:eastAsia="vi-VN" w:bidi="vi-VN"/>
        </w:rPr>
        <w:t>thuộc Bộ Quốc phòng,</w:t>
      </w:r>
      <w:r w:rsidRPr="004A7EB0">
        <w:rPr>
          <w:szCs w:val="28"/>
          <w:lang w:val="sv-SE" w:eastAsia="vi-VN" w:bidi="vi-VN"/>
        </w:rPr>
        <w:t xml:space="preserve"> Bộ Công an thực hiện </w:t>
      </w:r>
      <w:r w:rsidRPr="004A7EB0">
        <w:rPr>
          <w:szCs w:val="28"/>
          <w:lang w:val="vi-VN" w:eastAsia="vi-VN" w:bidi="vi-VN"/>
        </w:rPr>
        <w:t xml:space="preserve">các quy định </w:t>
      </w:r>
      <w:r w:rsidRPr="004A7EB0">
        <w:rPr>
          <w:szCs w:val="28"/>
          <w:lang w:val="sv-SE" w:eastAsia="vi-VN" w:bidi="vi-VN"/>
        </w:rPr>
        <w:t xml:space="preserve">tại Điều </w:t>
      </w:r>
      <w:r w:rsidRPr="004A7EB0">
        <w:rPr>
          <w:szCs w:val="28"/>
          <w:lang w:val="vi-VN" w:eastAsia="vi-VN" w:bidi="vi-VN"/>
        </w:rPr>
        <w:t xml:space="preserve">này </w:t>
      </w:r>
      <w:r w:rsidRPr="004A7EB0">
        <w:rPr>
          <w:szCs w:val="28"/>
          <w:lang w:val="sv-SE" w:eastAsia="vi-VN" w:bidi="vi-VN"/>
        </w:rPr>
        <w:t xml:space="preserve">và </w:t>
      </w:r>
      <w:r w:rsidRPr="004A7EB0">
        <w:rPr>
          <w:szCs w:val="28"/>
          <w:lang w:val="vi-VN" w:eastAsia="vi-VN" w:bidi="vi-VN"/>
        </w:rPr>
        <w:t>quy định, hướng dẫn của Bộ Quốc phòng</w:t>
      </w:r>
      <w:r w:rsidRPr="004A7EB0">
        <w:rPr>
          <w:szCs w:val="28"/>
          <w:lang w:val="sv-SE" w:eastAsia="vi-VN" w:bidi="vi-VN"/>
        </w:rPr>
        <w:t>, Bộ Công an</w:t>
      </w:r>
      <w:r w:rsidRPr="004A7EB0">
        <w:rPr>
          <w:szCs w:val="28"/>
          <w:lang w:val="vi-VN" w:eastAsia="vi-VN" w:bidi="vi-VN"/>
        </w:rPr>
        <w:t>.</w:t>
      </w:r>
    </w:p>
    <w:p w:rsidR="00DE6085" w:rsidRDefault="00DE6085" w:rsidP="00785116">
      <w:pPr>
        <w:spacing w:before="0"/>
      </w:pPr>
    </w:p>
    <w:p w:rsidR="00DE6085" w:rsidRPr="00DE6085" w:rsidRDefault="00DE6085" w:rsidP="00DE6085">
      <w:pPr>
        <w:pStyle w:val="iu"/>
      </w:pPr>
      <w:r w:rsidRPr="00DE6085">
        <w:t>Điều 22. Tổ chức đăng ký và xét tuyển các đợt bổ sung</w:t>
      </w:r>
    </w:p>
    <w:p w:rsidR="00DE6085" w:rsidRPr="004A7EB0" w:rsidRDefault="00DE6085" w:rsidP="00DE6085">
      <w:pPr>
        <w:pStyle w:val="BodyText"/>
        <w:spacing w:after="0"/>
        <w:rPr>
          <w:szCs w:val="28"/>
          <w:lang w:val="sv-SE"/>
        </w:rPr>
      </w:pPr>
      <w:r w:rsidRPr="004A7EB0">
        <w:rPr>
          <w:szCs w:val="28"/>
          <w:lang w:val="sv-SE"/>
        </w:rPr>
        <w:lastRenderedPageBreak/>
        <w:t xml:space="preserve"> 1. Căn cứ chỉ tiêu tuyển sinh và số thí sinh trúng tuyển đã xác nhận nhập học vào các ngành, chương trình đào tạo, hội đồng tuyển sinh của cơ sở đào tạo xem xét, quyết định xét tuyển các đợt bổ sung. Cơ sở đào tạo công bố kế hoạch xét tuyển, phương thức xét tuyển và hình thức đăng ký xét tuyển các đợt bổ sung; điều kiện xét tuyển đối với các ngành, chương trình đào tạo theo từng phương thức xét tuyển nhưng không thấp hơn điều kiện trúng tuyển đợt trước.</w:t>
      </w:r>
    </w:p>
    <w:p w:rsidR="00DE6085" w:rsidRPr="004A7EB0" w:rsidRDefault="00DE6085" w:rsidP="00DE6085">
      <w:pPr>
        <w:pStyle w:val="BodyText"/>
        <w:spacing w:after="0"/>
        <w:rPr>
          <w:szCs w:val="28"/>
          <w:lang w:val="sv-SE"/>
        </w:rPr>
      </w:pPr>
      <w:r w:rsidRPr="004A7EB0">
        <w:rPr>
          <w:szCs w:val="28"/>
          <w:lang w:val="sv-SE"/>
        </w:rPr>
        <w:t>2. Thí sinh chưa trúng tuyển hoặc đã trúng tuyển nhưng chưa xác nhận nhập học vào bất cứ nơi nào có thể đăng ký xét tuyển các đợt bổ sung theo kế hoạch và hướng dẫn của cơ sở đào tạo.</w:t>
      </w:r>
    </w:p>
    <w:p w:rsidR="00DE6085" w:rsidRPr="004A7EB0" w:rsidRDefault="00DE6085" w:rsidP="00DE6085">
      <w:pPr>
        <w:pStyle w:val="BodyText"/>
        <w:spacing w:after="0"/>
        <w:rPr>
          <w:szCs w:val="28"/>
          <w:lang w:val="sv-SE"/>
        </w:rPr>
      </w:pPr>
      <w:r w:rsidRPr="004A7EB0">
        <w:rPr>
          <w:szCs w:val="28"/>
          <w:lang w:val="sv-SE"/>
        </w:rPr>
        <w:t>3. Kết thúc mỗi đợt xét tuyển, cơ sở đào tạo công bố trên trang thông tin điện tử điểm trúng tuyển (và các điều kiện, tiêu chí phụ nếu có) vào các ngành, chương trình đào tạo theo các phương thức tuyển sinh; tổ chức cho thí sinh tra cứu kết quả xét tuyển của cá nhân; gửi giấy báo trúng tuyển và hướng dẫn cho thí sinh trúng tuyển nhập học.</w:t>
      </w:r>
    </w:p>
    <w:p w:rsidR="00F02666" w:rsidRPr="00C6777F" w:rsidRDefault="00F02666" w:rsidP="00F02666">
      <w:pPr>
        <w:pStyle w:val="iu"/>
      </w:pPr>
      <w:r>
        <w:t xml:space="preserve">Điều 23. </w:t>
      </w:r>
      <w:r w:rsidRPr="00C6777F">
        <w:t>Trách nhiệm của các bên liên quan trong công tác xét tuyển</w:t>
      </w:r>
    </w:p>
    <w:p w:rsidR="00F02666" w:rsidRPr="004A7EB0" w:rsidRDefault="00F02666" w:rsidP="00F02666">
      <w:pPr>
        <w:pStyle w:val="BodyText"/>
        <w:widowControl w:val="0"/>
        <w:spacing w:after="0"/>
        <w:rPr>
          <w:szCs w:val="28"/>
          <w:lang w:val="sv-SE"/>
        </w:rPr>
      </w:pPr>
      <w:r w:rsidRPr="004A7EB0">
        <w:rPr>
          <w:szCs w:val="28"/>
          <w:lang w:val="sv-SE"/>
        </w:rPr>
        <w:t>1. Trách nhiệm của thí sinh</w:t>
      </w:r>
    </w:p>
    <w:p w:rsidR="00F02666" w:rsidRPr="004A7EB0" w:rsidRDefault="00F02666" w:rsidP="00F02666">
      <w:pPr>
        <w:pStyle w:val="BodyText"/>
        <w:spacing w:after="0"/>
        <w:rPr>
          <w:szCs w:val="28"/>
          <w:lang w:val="sv-SE"/>
        </w:rPr>
      </w:pPr>
      <w:r w:rsidRPr="004A7EB0">
        <w:rPr>
          <w:szCs w:val="28"/>
          <w:lang w:val="sv-SE"/>
        </w:rPr>
        <w:t>a) Tìm hiểu kỹ thông tin tuyển sinh của các cơ sở đào tạo, không đăng ký nguyện vọng vào những ngành, chương trình đào tạo hay phương thức tuyển sinh mà không đủ điều kiện;</w:t>
      </w:r>
    </w:p>
    <w:p w:rsidR="00F02666" w:rsidRPr="004A7EB0" w:rsidRDefault="00F02666" w:rsidP="00F02666">
      <w:pPr>
        <w:pStyle w:val="BodyText"/>
        <w:spacing w:after="0"/>
        <w:rPr>
          <w:szCs w:val="28"/>
          <w:lang w:val="sv-SE"/>
        </w:rPr>
      </w:pPr>
      <w:r w:rsidRPr="004A7EB0">
        <w:rPr>
          <w:szCs w:val="28"/>
          <w:lang w:val="sv-SE"/>
        </w:rPr>
        <w:t>b) Cung cấp đầy đủ và bảo đảm tính chính xác của tất cả thông tin đăng ký dự tuyển, bao gồm cả thông tin cá nhân, thông tin khu vực và đối tượng ưu tiên (nếu có), nguyện vọng đăng ký; tính xác thực của các giấy tờ minh chứng;</w:t>
      </w:r>
    </w:p>
    <w:p w:rsidR="00F02666" w:rsidRPr="004A7EB0" w:rsidRDefault="00F02666" w:rsidP="00F02666">
      <w:pPr>
        <w:pStyle w:val="BodyText"/>
        <w:spacing w:after="0"/>
        <w:rPr>
          <w:szCs w:val="28"/>
          <w:lang w:val="sv-SE"/>
        </w:rPr>
      </w:pPr>
      <w:r w:rsidRPr="004A7EB0">
        <w:rPr>
          <w:szCs w:val="28"/>
          <w:lang w:val="sv-SE"/>
        </w:rPr>
        <w:t>c) Đồng ý để cơ sở đào tạo mà mình dự tuyển được quyền sử dụng thông tin, dữ liệu cần thiết phục vụ cho công tác xét tuyển;</w:t>
      </w:r>
    </w:p>
    <w:p w:rsidR="00F02666" w:rsidRPr="004A7EB0" w:rsidRDefault="00F02666" w:rsidP="00F02666">
      <w:pPr>
        <w:pStyle w:val="BodyText"/>
        <w:spacing w:after="0"/>
        <w:rPr>
          <w:szCs w:val="28"/>
          <w:lang w:val="sv-SE"/>
        </w:rPr>
      </w:pPr>
      <w:r w:rsidRPr="004A7EB0">
        <w:rPr>
          <w:szCs w:val="28"/>
          <w:lang w:val="sv-SE"/>
        </w:rPr>
        <w:t>d) Hoàn thành thanh toán lệ phí tuyển sinh trước khi kết thúc thủ tục đăng ký dự tuyển.</w:t>
      </w:r>
    </w:p>
    <w:p w:rsidR="00F02666" w:rsidRPr="004A7EB0" w:rsidRDefault="00F02666" w:rsidP="00F02666">
      <w:pPr>
        <w:pStyle w:val="BodyText"/>
        <w:spacing w:after="0"/>
        <w:rPr>
          <w:szCs w:val="28"/>
          <w:lang w:val="sv-SE"/>
        </w:rPr>
      </w:pPr>
      <w:r w:rsidRPr="004A7EB0">
        <w:rPr>
          <w:szCs w:val="28"/>
          <w:lang w:val="sv-SE"/>
        </w:rPr>
        <w:t>2. Trách nhiệm của các trường THPT và các đơn vị khác được phân công đối với thí sinh thuộc phạm vi phụ trách</w:t>
      </w:r>
    </w:p>
    <w:p w:rsidR="00F02666" w:rsidRPr="004A7EB0" w:rsidRDefault="00F02666" w:rsidP="00F02666">
      <w:pPr>
        <w:pStyle w:val="BodyText"/>
        <w:spacing w:after="0"/>
        <w:rPr>
          <w:szCs w:val="28"/>
          <w:lang w:val="sv-SE"/>
        </w:rPr>
      </w:pPr>
      <w:r w:rsidRPr="004A7EB0">
        <w:rPr>
          <w:szCs w:val="28"/>
          <w:lang w:val="sv-SE"/>
        </w:rPr>
        <w:t>a) Tổ chức rà soát, kiểm tra và bổ sung, cập nhật thông tin cá nhân, dữ liệu kết quả học tập cấp THPT của thí sinh trên hệ thống cơ sở dữ liệu ngành;</w:t>
      </w:r>
    </w:p>
    <w:p w:rsidR="00F02666" w:rsidRPr="004A7EB0" w:rsidRDefault="00F02666" w:rsidP="00F02666">
      <w:pPr>
        <w:pStyle w:val="BodyText"/>
        <w:spacing w:after="0"/>
        <w:rPr>
          <w:szCs w:val="28"/>
          <w:lang w:val="sv-SE"/>
        </w:rPr>
      </w:pPr>
      <w:r w:rsidRPr="004A7EB0">
        <w:rPr>
          <w:szCs w:val="28"/>
          <w:lang w:val="sv-SE"/>
        </w:rPr>
        <w:t>b) Kiểm tra dữ liệu, hướng dẫn thí sinh khai đúng thông tin, bao gồm cả thông tin khu vực và đối tượng ưu tiên;</w:t>
      </w:r>
    </w:p>
    <w:p w:rsidR="00F02666" w:rsidRPr="004A7EB0" w:rsidRDefault="00F02666" w:rsidP="00F02666">
      <w:pPr>
        <w:pStyle w:val="BodyText"/>
        <w:spacing w:after="0"/>
        <w:rPr>
          <w:szCs w:val="28"/>
          <w:lang w:val="sv-SE"/>
        </w:rPr>
      </w:pPr>
      <w:r w:rsidRPr="004A7EB0">
        <w:rPr>
          <w:szCs w:val="28"/>
          <w:lang w:val="sv-SE"/>
        </w:rPr>
        <w:lastRenderedPageBreak/>
        <w:t>c) Hỗ trợ việc đăng ký nguyện vọng cho những thí sinh không có điều kiện đăng ký trực tuyến;</w:t>
      </w:r>
    </w:p>
    <w:p w:rsidR="00F02666" w:rsidRPr="004A7EB0" w:rsidRDefault="00F02666" w:rsidP="00F02666">
      <w:pPr>
        <w:pStyle w:val="BodyText"/>
        <w:widowControl w:val="0"/>
        <w:spacing w:after="0"/>
        <w:rPr>
          <w:szCs w:val="28"/>
          <w:lang w:val="sv-SE"/>
        </w:rPr>
      </w:pPr>
      <w:r w:rsidRPr="004A7EB0">
        <w:rPr>
          <w:szCs w:val="28"/>
          <w:lang w:val="sv-SE"/>
        </w:rPr>
        <w:t>d) Hỗ trợ các cơ sở đào tạo có tuyển sinh theo kế hoạch riêng trong việc xác nhận kết quả học tập cấp THPT cho những thí sinh dự tuyển.</w:t>
      </w:r>
    </w:p>
    <w:p w:rsidR="00140205" w:rsidRDefault="00140205" w:rsidP="00DE6085">
      <w:pPr>
        <w:spacing w:before="0"/>
      </w:pPr>
    </w:p>
    <w:p w:rsidR="00140205" w:rsidRPr="00140205" w:rsidRDefault="00140205" w:rsidP="00140205">
      <w:pPr>
        <w:spacing w:before="0" w:line="400" w:lineRule="exact"/>
        <w:jc w:val="center"/>
        <w:rPr>
          <w:b/>
          <w:color w:val="0000FF"/>
          <w:szCs w:val="28"/>
          <w:lang w:val="sv-SE"/>
        </w:rPr>
      </w:pPr>
      <w:r w:rsidRPr="00140205">
        <w:rPr>
          <w:b/>
          <w:color w:val="0000FF"/>
          <w:szCs w:val="28"/>
          <w:lang w:val="sv-SE"/>
        </w:rPr>
        <w:t xml:space="preserve">PHỤ LỤC </w:t>
      </w:r>
    </w:p>
    <w:p w:rsidR="00140205" w:rsidRPr="00140205" w:rsidRDefault="00140205" w:rsidP="00140205">
      <w:pPr>
        <w:spacing w:before="0" w:line="400" w:lineRule="exact"/>
        <w:jc w:val="center"/>
        <w:rPr>
          <w:b/>
          <w:color w:val="0000FF"/>
          <w:spacing w:val="-2"/>
          <w:szCs w:val="28"/>
          <w:lang w:val="sv-SE"/>
        </w:rPr>
      </w:pPr>
      <w:r w:rsidRPr="00140205">
        <w:rPr>
          <w:i/>
          <w:color w:val="0000FF"/>
          <w:szCs w:val="28"/>
          <w:lang w:val="sv-SE"/>
        </w:rPr>
        <w:t xml:space="preserve">(kèm theo Quy chế tuyển sinh đại học, tuyển sinh cao đẳng ngành Giáo dục Mầm non </w:t>
      </w:r>
      <w:r w:rsidRPr="00140205">
        <w:rPr>
          <w:i/>
          <w:iCs/>
          <w:color w:val="0000FF"/>
          <w:szCs w:val="28"/>
          <w:lang w:val="sv-SE"/>
        </w:rPr>
        <w:t xml:space="preserve">ban hành kèm theo Thông tư </w:t>
      </w:r>
      <w:r w:rsidRPr="00140205">
        <w:rPr>
          <w:i/>
          <w:iCs/>
          <w:color w:val="0000FF"/>
          <w:szCs w:val="28"/>
          <w:u w:color="FF0000"/>
          <w:lang w:val="sv-SE"/>
        </w:rPr>
        <w:t>số 08</w:t>
      </w:r>
      <w:r w:rsidRPr="00140205">
        <w:rPr>
          <w:i/>
          <w:iCs/>
          <w:color w:val="0000FF"/>
          <w:szCs w:val="28"/>
          <w:lang w:val="sv-SE"/>
        </w:rPr>
        <w:t>/2022/TT-BGDĐT</w:t>
      </w:r>
      <w:r w:rsidRPr="00140205">
        <w:rPr>
          <w:i/>
          <w:color w:val="0000FF"/>
          <w:szCs w:val="28"/>
          <w:lang w:val="sv-SE"/>
        </w:rPr>
        <w:t xml:space="preserve"> </w:t>
      </w:r>
      <w:r w:rsidRPr="00140205">
        <w:rPr>
          <w:i/>
          <w:iCs/>
          <w:color w:val="0000FF"/>
          <w:szCs w:val="28"/>
          <w:lang w:val="sv-SE"/>
        </w:rPr>
        <w:t xml:space="preserve">ngày 06 </w:t>
      </w:r>
      <w:r w:rsidRPr="00140205">
        <w:rPr>
          <w:i/>
          <w:iCs/>
          <w:color w:val="0000FF"/>
          <w:szCs w:val="28"/>
          <w:u w:color="FF0000"/>
          <w:lang w:val="sv-SE"/>
        </w:rPr>
        <w:t xml:space="preserve">tháng 6 </w:t>
      </w:r>
      <w:r w:rsidRPr="00140205">
        <w:rPr>
          <w:i/>
          <w:iCs/>
          <w:color w:val="0000FF"/>
          <w:szCs w:val="28"/>
          <w:lang w:val="sv-SE"/>
        </w:rPr>
        <w:t>năm 2022 của Bộ trưởng Bộ Giáo dục và Đào tạo)</w:t>
      </w:r>
    </w:p>
    <w:p w:rsidR="00140205" w:rsidRPr="00140205" w:rsidRDefault="00140205" w:rsidP="00140205">
      <w:pPr>
        <w:pStyle w:val="BodyText"/>
        <w:keepNext/>
        <w:spacing w:after="0"/>
        <w:ind w:firstLine="0"/>
        <w:outlineLvl w:val="1"/>
        <w:rPr>
          <w:b/>
          <w:bCs/>
          <w:color w:val="0000FF"/>
          <w:spacing w:val="-6"/>
          <w:szCs w:val="28"/>
          <w:lang w:val="sv-SE"/>
        </w:rPr>
      </w:pPr>
    </w:p>
    <w:p w:rsidR="00140205" w:rsidRPr="00FD3C3B" w:rsidRDefault="00140205" w:rsidP="00140205">
      <w:pPr>
        <w:pStyle w:val="BodyText"/>
        <w:keepNext/>
        <w:spacing w:after="0"/>
        <w:ind w:firstLine="0"/>
        <w:outlineLvl w:val="1"/>
        <w:rPr>
          <w:b/>
          <w:bCs/>
          <w:spacing w:val="-6"/>
          <w:szCs w:val="28"/>
          <w:lang w:val="sv-SE"/>
        </w:rPr>
      </w:pPr>
      <w:r w:rsidRPr="00FD3C3B">
        <w:rPr>
          <w:b/>
          <w:bCs/>
          <w:spacing w:val="-6"/>
          <w:szCs w:val="28"/>
          <w:lang w:val="sv-SE"/>
        </w:rPr>
        <w:t>Phụ lục I. Phân chia khu vực tuyển sinh</w:t>
      </w:r>
    </w:p>
    <w:tbl>
      <w:tblPr>
        <w:tblStyle w:val="TableGrid"/>
        <w:tblW w:w="9464" w:type="dxa"/>
        <w:tblLook w:val="04A0" w:firstRow="1" w:lastRow="0" w:firstColumn="1" w:lastColumn="0" w:noHBand="0" w:noVBand="1"/>
      </w:tblPr>
      <w:tblGrid>
        <w:gridCol w:w="1696"/>
        <w:gridCol w:w="7768"/>
      </w:tblGrid>
      <w:tr w:rsidR="00140205" w:rsidRPr="0068103B" w:rsidTr="00746FCE">
        <w:tc>
          <w:tcPr>
            <w:tcW w:w="1696" w:type="dxa"/>
          </w:tcPr>
          <w:p w:rsidR="00140205" w:rsidRPr="00FD3C3B" w:rsidRDefault="00140205" w:rsidP="00746FCE">
            <w:pPr>
              <w:pStyle w:val="BodyText"/>
              <w:spacing w:after="0"/>
              <w:ind w:firstLine="0"/>
              <w:jc w:val="center"/>
              <w:rPr>
                <w:b/>
                <w:bCs/>
                <w:spacing w:val="-6"/>
                <w:szCs w:val="28"/>
                <w:lang w:val="sv-SE"/>
              </w:rPr>
            </w:pPr>
            <w:r w:rsidRPr="00FD3C3B">
              <w:rPr>
                <w:b/>
                <w:bCs/>
                <w:spacing w:val="-6"/>
                <w:szCs w:val="28"/>
                <w:lang w:val="sv-SE"/>
              </w:rPr>
              <w:t>Khu vực</w:t>
            </w:r>
          </w:p>
        </w:tc>
        <w:tc>
          <w:tcPr>
            <w:tcW w:w="7768" w:type="dxa"/>
          </w:tcPr>
          <w:p w:rsidR="00140205" w:rsidRPr="00FD3C3B" w:rsidRDefault="00140205" w:rsidP="00746FCE">
            <w:pPr>
              <w:pStyle w:val="BodyText"/>
              <w:spacing w:after="0"/>
              <w:ind w:firstLine="0"/>
              <w:rPr>
                <w:b/>
                <w:bCs/>
                <w:spacing w:val="-6"/>
                <w:szCs w:val="28"/>
                <w:lang w:val="sv-SE"/>
              </w:rPr>
            </w:pPr>
            <w:r w:rsidRPr="00FD3C3B">
              <w:rPr>
                <w:b/>
                <w:bCs/>
                <w:spacing w:val="-6"/>
                <w:szCs w:val="28"/>
                <w:lang w:val="sv-SE"/>
              </w:rPr>
              <w:t>Mô tả khu vực và điều kiện</w:t>
            </w:r>
          </w:p>
        </w:tc>
      </w:tr>
      <w:tr w:rsidR="00140205" w:rsidRPr="0068103B" w:rsidTr="00746FCE">
        <w:tc>
          <w:tcPr>
            <w:tcW w:w="1696" w:type="dxa"/>
          </w:tcPr>
          <w:p w:rsidR="00140205" w:rsidRPr="00FD3C3B" w:rsidRDefault="00140205" w:rsidP="00746FCE">
            <w:pPr>
              <w:pStyle w:val="BodyText"/>
              <w:spacing w:after="0"/>
              <w:ind w:firstLine="0"/>
              <w:jc w:val="center"/>
              <w:rPr>
                <w:bCs/>
                <w:spacing w:val="-6"/>
                <w:szCs w:val="28"/>
                <w:lang w:val="sv-SE"/>
              </w:rPr>
            </w:pPr>
            <w:r w:rsidRPr="00FD3C3B">
              <w:rPr>
                <w:bCs/>
                <w:spacing w:val="-6"/>
                <w:szCs w:val="28"/>
                <w:lang w:val="sv-SE"/>
              </w:rPr>
              <w:t>Khu vực 1</w:t>
            </w:r>
          </w:p>
          <w:p w:rsidR="00140205" w:rsidRPr="00FD3C3B" w:rsidRDefault="00140205" w:rsidP="00746FCE">
            <w:pPr>
              <w:pStyle w:val="BodyText"/>
              <w:spacing w:after="0"/>
              <w:ind w:firstLine="0"/>
              <w:jc w:val="center"/>
              <w:rPr>
                <w:bCs/>
                <w:spacing w:val="-6"/>
                <w:szCs w:val="28"/>
                <w:lang w:val="sv-SE"/>
              </w:rPr>
            </w:pPr>
            <w:r w:rsidRPr="00FD3C3B">
              <w:rPr>
                <w:bCs/>
                <w:spacing w:val="-6"/>
                <w:szCs w:val="28"/>
                <w:lang w:val="sv-SE"/>
              </w:rPr>
              <w:t>(KV1)</w:t>
            </w:r>
          </w:p>
        </w:tc>
        <w:tc>
          <w:tcPr>
            <w:tcW w:w="7768" w:type="dxa"/>
          </w:tcPr>
          <w:p w:rsidR="00140205" w:rsidRPr="00FD3C3B" w:rsidRDefault="00140205" w:rsidP="00746FCE">
            <w:pPr>
              <w:pStyle w:val="BodyText"/>
              <w:spacing w:after="0"/>
              <w:ind w:firstLine="0"/>
              <w:rPr>
                <w:bCs/>
                <w:spacing w:val="-6"/>
                <w:szCs w:val="28"/>
                <w:lang w:val="sv-SE"/>
              </w:rPr>
            </w:pPr>
            <w:r w:rsidRPr="00FD3C3B">
              <w:rPr>
                <w:bCs/>
                <w:spacing w:val="-6"/>
                <w:szCs w:val="28"/>
                <w:lang w:val="sv-SE"/>
              </w:rPr>
              <w:t>Các xã khu vực I, II, III và các xã có thôn đặc biệt khó khăn thuộc vùng dân tộc và miền núi; các xã đặc biệt khó khăn vùng bãi ngang ven biển và hải đảo; các xã đặc biệt khó khăn, xã biên giới, xã an toàn khu vào diện đầu tư của Chương trình 135 theo quy định của Thủ tướng Chính phủ.</w:t>
            </w:r>
          </w:p>
        </w:tc>
      </w:tr>
      <w:tr w:rsidR="00140205" w:rsidRPr="0068103B" w:rsidTr="00746FCE">
        <w:tc>
          <w:tcPr>
            <w:tcW w:w="1696" w:type="dxa"/>
          </w:tcPr>
          <w:p w:rsidR="00140205" w:rsidRPr="00FD3C3B" w:rsidRDefault="00140205" w:rsidP="00746FCE">
            <w:pPr>
              <w:pStyle w:val="BodyText"/>
              <w:spacing w:after="0"/>
              <w:ind w:firstLine="0"/>
              <w:jc w:val="center"/>
              <w:rPr>
                <w:bCs/>
                <w:spacing w:val="-6"/>
                <w:szCs w:val="28"/>
                <w:lang w:val="sv-SE"/>
              </w:rPr>
            </w:pPr>
            <w:r w:rsidRPr="00FD3C3B">
              <w:rPr>
                <w:bCs/>
                <w:spacing w:val="-6"/>
                <w:szCs w:val="28"/>
                <w:lang w:val="sv-SE"/>
              </w:rPr>
              <w:t>Khu vực 2 nông thôn (KV2-NT)</w:t>
            </w:r>
          </w:p>
        </w:tc>
        <w:tc>
          <w:tcPr>
            <w:tcW w:w="7768" w:type="dxa"/>
          </w:tcPr>
          <w:p w:rsidR="00140205" w:rsidRPr="00FD3C3B" w:rsidRDefault="00140205" w:rsidP="00746FCE">
            <w:pPr>
              <w:pStyle w:val="BodyText"/>
              <w:spacing w:after="0"/>
              <w:ind w:firstLine="0"/>
              <w:rPr>
                <w:bCs/>
                <w:spacing w:val="-6"/>
                <w:szCs w:val="28"/>
                <w:lang w:val="sv-SE"/>
              </w:rPr>
            </w:pPr>
            <w:r w:rsidRPr="00FD3C3B">
              <w:rPr>
                <w:bCs/>
                <w:spacing w:val="-6"/>
                <w:szCs w:val="28"/>
                <w:lang w:val="sv-SE"/>
              </w:rPr>
              <w:t>Các địa phương không thuộc KV1, KV2, KV3;</w:t>
            </w:r>
          </w:p>
        </w:tc>
      </w:tr>
      <w:tr w:rsidR="00140205" w:rsidRPr="0068103B" w:rsidTr="00746FCE">
        <w:tc>
          <w:tcPr>
            <w:tcW w:w="1696" w:type="dxa"/>
          </w:tcPr>
          <w:p w:rsidR="00140205" w:rsidRPr="00FD3C3B" w:rsidRDefault="00140205" w:rsidP="00746FCE">
            <w:pPr>
              <w:pStyle w:val="BodyText"/>
              <w:spacing w:after="0"/>
              <w:ind w:firstLine="0"/>
              <w:jc w:val="center"/>
              <w:rPr>
                <w:bCs/>
                <w:spacing w:val="-6"/>
                <w:szCs w:val="28"/>
                <w:lang w:val="sv-SE"/>
              </w:rPr>
            </w:pPr>
            <w:r w:rsidRPr="00FD3C3B">
              <w:rPr>
                <w:bCs/>
                <w:spacing w:val="-6"/>
                <w:szCs w:val="28"/>
                <w:lang w:val="sv-SE"/>
              </w:rPr>
              <w:t>Khu vực 2</w:t>
            </w:r>
          </w:p>
          <w:p w:rsidR="00140205" w:rsidRPr="00FD3C3B" w:rsidRDefault="00140205" w:rsidP="00746FCE">
            <w:pPr>
              <w:pStyle w:val="BodyText"/>
              <w:spacing w:after="0"/>
              <w:ind w:firstLine="0"/>
              <w:jc w:val="center"/>
              <w:rPr>
                <w:bCs/>
                <w:spacing w:val="-6"/>
                <w:szCs w:val="28"/>
                <w:lang w:val="sv-SE"/>
              </w:rPr>
            </w:pPr>
            <w:r w:rsidRPr="00FD3C3B">
              <w:rPr>
                <w:bCs/>
                <w:spacing w:val="-6"/>
                <w:szCs w:val="28"/>
                <w:lang w:val="sv-SE"/>
              </w:rPr>
              <w:t>(KV2)</w:t>
            </w:r>
          </w:p>
        </w:tc>
        <w:tc>
          <w:tcPr>
            <w:tcW w:w="7768" w:type="dxa"/>
          </w:tcPr>
          <w:p w:rsidR="00140205" w:rsidRPr="00FD3C3B" w:rsidRDefault="00140205" w:rsidP="00746FCE">
            <w:pPr>
              <w:pStyle w:val="BodyText"/>
              <w:spacing w:after="0"/>
              <w:ind w:firstLine="0"/>
              <w:rPr>
                <w:bCs/>
                <w:spacing w:val="-6"/>
                <w:szCs w:val="28"/>
                <w:lang w:val="sv-SE"/>
              </w:rPr>
            </w:pPr>
            <w:r w:rsidRPr="00FD3C3B">
              <w:rPr>
                <w:bCs/>
                <w:spacing w:val="-6"/>
                <w:szCs w:val="28"/>
                <w:lang w:val="sv-SE"/>
              </w:rPr>
              <w:t>Các thị xã, thành phố trực thuộc tỉnh; các thị xã, huyện ngoại thành của thành phố trực thuộc Trung ương (trừ các xã thuộc KV1).</w:t>
            </w:r>
          </w:p>
        </w:tc>
      </w:tr>
      <w:tr w:rsidR="00140205" w:rsidRPr="0068103B" w:rsidTr="00746FCE">
        <w:tc>
          <w:tcPr>
            <w:tcW w:w="1696" w:type="dxa"/>
          </w:tcPr>
          <w:p w:rsidR="00140205" w:rsidRPr="00FD3C3B" w:rsidRDefault="00140205" w:rsidP="00746FCE">
            <w:pPr>
              <w:pStyle w:val="BodyText"/>
              <w:spacing w:after="0"/>
              <w:ind w:firstLine="0"/>
              <w:jc w:val="center"/>
              <w:rPr>
                <w:bCs/>
                <w:spacing w:val="-6"/>
                <w:szCs w:val="28"/>
                <w:lang w:val="sv-SE"/>
              </w:rPr>
            </w:pPr>
            <w:r w:rsidRPr="00FD3C3B">
              <w:rPr>
                <w:bCs/>
                <w:spacing w:val="-6"/>
                <w:szCs w:val="28"/>
                <w:lang w:val="sv-SE"/>
              </w:rPr>
              <w:t>Khu vực 3</w:t>
            </w:r>
          </w:p>
          <w:p w:rsidR="00140205" w:rsidRPr="00FD3C3B" w:rsidRDefault="00140205" w:rsidP="00746FCE">
            <w:pPr>
              <w:pStyle w:val="BodyText"/>
              <w:spacing w:after="0"/>
              <w:ind w:firstLine="0"/>
              <w:jc w:val="center"/>
              <w:rPr>
                <w:bCs/>
                <w:spacing w:val="-6"/>
                <w:szCs w:val="28"/>
                <w:lang w:val="sv-SE"/>
              </w:rPr>
            </w:pPr>
            <w:r w:rsidRPr="00FD3C3B">
              <w:rPr>
                <w:bCs/>
                <w:spacing w:val="-6"/>
                <w:szCs w:val="28"/>
                <w:lang w:val="sv-SE"/>
              </w:rPr>
              <w:t>(KV3)</w:t>
            </w:r>
          </w:p>
        </w:tc>
        <w:tc>
          <w:tcPr>
            <w:tcW w:w="7768" w:type="dxa"/>
          </w:tcPr>
          <w:p w:rsidR="00140205" w:rsidRPr="00FD3C3B" w:rsidRDefault="00140205" w:rsidP="00746FCE">
            <w:pPr>
              <w:pStyle w:val="BodyText"/>
              <w:spacing w:after="0"/>
              <w:ind w:firstLine="0"/>
              <w:rPr>
                <w:bCs/>
                <w:spacing w:val="-6"/>
                <w:szCs w:val="28"/>
                <w:lang w:val="sv-SE"/>
              </w:rPr>
            </w:pPr>
            <w:r w:rsidRPr="00FD3C3B">
              <w:rPr>
                <w:bCs/>
                <w:spacing w:val="-6"/>
                <w:szCs w:val="28"/>
                <w:lang w:val="sv-SE"/>
              </w:rPr>
              <w:t xml:space="preserve">Các quận nội thành của thành phố trực thuộc Trung ương. </w:t>
            </w:r>
          </w:p>
        </w:tc>
      </w:tr>
    </w:tbl>
    <w:p w:rsidR="00140205" w:rsidRPr="00FD3C3B" w:rsidRDefault="00140205" w:rsidP="00140205">
      <w:pPr>
        <w:pStyle w:val="BodyText"/>
        <w:spacing w:after="0"/>
        <w:ind w:firstLine="0"/>
        <w:outlineLvl w:val="1"/>
        <w:rPr>
          <w:b/>
          <w:bCs/>
          <w:spacing w:val="-6"/>
          <w:szCs w:val="28"/>
          <w:lang w:val="sv-SE"/>
        </w:rPr>
      </w:pPr>
    </w:p>
    <w:p w:rsidR="00140205" w:rsidRPr="00FD3C3B" w:rsidRDefault="00140205" w:rsidP="00140205">
      <w:pPr>
        <w:pStyle w:val="BodyText"/>
        <w:spacing w:after="0"/>
        <w:ind w:firstLine="0"/>
        <w:outlineLvl w:val="1"/>
        <w:rPr>
          <w:b/>
          <w:bCs/>
          <w:spacing w:val="-6"/>
          <w:szCs w:val="28"/>
          <w:lang w:val="sv-SE"/>
        </w:rPr>
      </w:pPr>
      <w:r w:rsidRPr="00FD3C3B">
        <w:rPr>
          <w:b/>
          <w:bCs/>
          <w:spacing w:val="-6"/>
          <w:szCs w:val="28"/>
          <w:lang w:val="sv-SE"/>
        </w:rPr>
        <w:t>Phụ lục II. Đối tượng chính sách ưu tiên</w:t>
      </w:r>
    </w:p>
    <w:tbl>
      <w:tblPr>
        <w:tblStyle w:val="TableGrid"/>
        <w:tblW w:w="9322" w:type="dxa"/>
        <w:tblLook w:val="04A0" w:firstRow="1" w:lastRow="0" w:firstColumn="1" w:lastColumn="0" w:noHBand="0" w:noVBand="1"/>
      </w:tblPr>
      <w:tblGrid>
        <w:gridCol w:w="1696"/>
        <w:gridCol w:w="7626"/>
      </w:tblGrid>
      <w:tr w:rsidR="00140205" w:rsidRPr="0068103B" w:rsidTr="00746FCE">
        <w:tc>
          <w:tcPr>
            <w:tcW w:w="1696" w:type="dxa"/>
          </w:tcPr>
          <w:p w:rsidR="00140205" w:rsidRPr="00FD3C3B" w:rsidRDefault="00140205" w:rsidP="00746FCE">
            <w:pPr>
              <w:pStyle w:val="BodyText"/>
              <w:spacing w:after="0"/>
              <w:ind w:firstLine="0"/>
              <w:jc w:val="center"/>
              <w:rPr>
                <w:b/>
                <w:bCs/>
                <w:spacing w:val="-6"/>
                <w:szCs w:val="28"/>
                <w:lang w:val="sv-SE"/>
              </w:rPr>
            </w:pPr>
            <w:r w:rsidRPr="00FD3C3B">
              <w:rPr>
                <w:b/>
                <w:bCs/>
                <w:spacing w:val="-6"/>
                <w:szCs w:val="28"/>
                <w:lang w:val="sv-SE"/>
              </w:rPr>
              <w:t>Đối tượng</w:t>
            </w:r>
          </w:p>
        </w:tc>
        <w:tc>
          <w:tcPr>
            <w:tcW w:w="7626" w:type="dxa"/>
          </w:tcPr>
          <w:p w:rsidR="00140205" w:rsidRPr="00FD3C3B" w:rsidRDefault="00140205" w:rsidP="00746FCE">
            <w:pPr>
              <w:pStyle w:val="BodyText"/>
              <w:spacing w:after="0"/>
              <w:ind w:firstLine="0"/>
              <w:rPr>
                <w:b/>
                <w:bCs/>
                <w:spacing w:val="-6"/>
                <w:szCs w:val="28"/>
                <w:lang w:val="sv-SE"/>
              </w:rPr>
            </w:pPr>
            <w:r w:rsidRPr="00FD3C3B">
              <w:rPr>
                <w:b/>
                <w:bCs/>
                <w:spacing w:val="-6"/>
                <w:szCs w:val="28"/>
                <w:lang w:val="sv-SE"/>
              </w:rPr>
              <w:t>Mô tả đối tượng, điều kiện</w:t>
            </w:r>
          </w:p>
        </w:tc>
      </w:tr>
      <w:tr w:rsidR="00140205" w:rsidRPr="00FD3C3B" w:rsidTr="00746FCE">
        <w:tc>
          <w:tcPr>
            <w:tcW w:w="1696" w:type="dxa"/>
          </w:tcPr>
          <w:p w:rsidR="00140205" w:rsidRPr="00FD3C3B" w:rsidRDefault="00140205" w:rsidP="00746FCE">
            <w:pPr>
              <w:pStyle w:val="BodyText"/>
              <w:spacing w:after="0"/>
              <w:ind w:firstLine="0"/>
              <w:jc w:val="center"/>
              <w:rPr>
                <w:bCs/>
                <w:i/>
                <w:spacing w:val="-6"/>
                <w:szCs w:val="28"/>
                <w:lang w:val="sv-SE"/>
              </w:rPr>
            </w:pPr>
            <w:r w:rsidRPr="00FD3C3B">
              <w:rPr>
                <w:bCs/>
                <w:i/>
                <w:spacing w:val="-6"/>
                <w:szCs w:val="28"/>
                <w:lang w:val="sv-SE"/>
              </w:rPr>
              <w:t>Nhóm UT1</w:t>
            </w:r>
          </w:p>
        </w:tc>
        <w:tc>
          <w:tcPr>
            <w:tcW w:w="7626" w:type="dxa"/>
          </w:tcPr>
          <w:p w:rsidR="00140205" w:rsidRPr="00FD3C3B" w:rsidRDefault="00140205" w:rsidP="00746FCE">
            <w:pPr>
              <w:pStyle w:val="BodyText"/>
              <w:spacing w:after="0"/>
              <w:ind w:firstLine="0"/>
              <w:rPr>
                <w:bCs/>
                <w:spacing w:val="-6"/>
                <w:szCs w:val="28"/>
                <w:lang w:val="sv-SE"/>
              </w:rPr>
            </w:pPr>
          </w:p>
        </w:tc>
      </w:tr>
      <w:tr w:rsidR="00140205" w:rsidRPr="0068103B" w:rsidTr="00746FCE">
        <w:tc>
          <w:tcPr>
            <w:tcW w:w="1696" w:type="dxa"/>
          </w:tcPr>
          <w:p w:rsidR="00140205" w:rsidRPr="00FD3C3B" w:rsidRDefault="00140205" w:rsidP="00746FCE">
            <w:pPr>
              <w:pStyle w:val="BodyText"/>
              <w:spacing w:after="0"/>
              <w:ind w:firstLine="0"/>
              <w:jc w:val="center"/>
              <w:rPr>
                <w:bCs/>
                <w:spacing w:val="-6"/>
                <w:szCs w:val="28"/>
                <w:lang w:val="sv-SE"/>
              </w:rPr>
            </w:pPr>
            <w:r w:rsidRPr="00FD3C3B">
              <w:rPr>
                <w:bCs/>
                <w:spacing w:val="-6"/>
                <w:szCs w:val="28"/>
                <w:lang w:val="sv-SE"/>
              </w:rPr>
              <w:t>01</w:t>
            </w:r>
          </w:p>
        </w:tc>
        <w:tc>
          <w:tcPr>
            <w:tcW w:w="7626" w:type="dxa"/>
          </w:tcPr>
          <w:p w:rsidR="00140205" w:rsidRPr="00FD3C3B" w:rsidRDefault="00140205" w:rsidP="00746FCE">
            <w:pPr>
              <w:pStyle w:val="BodyText"/>
              <w:spacing w:after="0"/>
              <w:ind w:firstLine="0"/>
              <w:rPr>
                <w:bCs/>
                <w:spacing w:val="-6"/>
                <w:szCs w:val="28"/>
                <w:lang w:val="sv-SE"/>
              </w:rPr>
            </w:pPr>
            <w:r w:rsidRPr="00FD3C3B">
              <w:rPr>
                <w:bCs/>
                <w:spacing w:val="-6"/>
                <w:szCs w:val="28"/>
                <w:lang w:val="sv-SE"/>
              </w:rPr>
              <w:t xml:space="preserve">Công dân Việt Nam là </w:t>
            </w:r>
            <w:r>
              <w:rPr>
                <w:bCs/>
                <w:spacing w:val="-6"/>
                <w:szCs w:val="28"/>
                <w:lang w:val="sv-SE"/>
              </w:rPr>
              <w:t>n</w:t>
            </w:r>
            <w:r w:rsidRPr="00FD3C3B">
              <w:rPr>
                <w:bCs/>
                <w:spacing w:val="-6"/>
                <w:szCs w:val="28"/>
                <w:lang w:val="sv-SE"/>
              </w:rPr>
              <w:t>gười dân tộc thiểu số có nơi thường trú trong thời gian học THPT hoặc trung cấp trên 18 tháng tại Khu vực 1.</w:t>
            </w:r>
          </w:p>
        </w:tc>
      </w:tr>
      <w:tr w:rsidR="00140205" w:rsidRPr="0068103B" w:rsidTr="00746FCE">
        <w:tc>
          <w:tcPr>
            <w:tcW w:w="1696" w:type="dxa"/>
          </w:tcPr>
          <w:p w:rsidR="00140205" w:rsidRPr="00FD3C3B" w:rsidRDefault="00140205" w:rsidP="00746FCE">
            <w:pPr>
              <w:pStyle w:val="BodyText"/>
              <w:spacing w:after="0"/>
              <w:ind w:firstLine="0"/>
              <w:jc w:val="center"/>
              <w:rPr>
                <w:bCs/>
                <w:spacing w:val="-6"/>
                <w:szCs w:val="28"/>
                <w:lang w:val="sv-SE"/>
              </w:rPr>
            </w:pPr>
            <w:r w:rsidRPr="00FD3C3B">
              <w:rPr>
                <w:bCs/>
                <w:spacing w:val="-6"/>
                <w:szCs w:val="28"/>
                <w:lang w:val="sv-SE"/>
              </w:rPr>
              <w:t>02</w:t>
            </w:r>
          </w:p>
        </w:tc>
        <w:tc>
          <w:tcPr>
            <w:tcW w:w="7626" w:type="dxa"/>
          </w:tcPr>
          <w:p w:rsidR="00140205" w:rsidRPr="00FD3C3B" w:rsidRDefault="00140205" w:rsidP="00746FCE">
            <w:pPr>
              <w:pStyle w:val="BodyText"/>
              <w:spacing w:after="0"/>
              <w:ind w:firstLine="0"/>
              <w:rPr>
                <w:bCs/>
                <w:spacing w:val="-6"/>
                <w:szCs w:val="28"/>
                <w:lang w:val="sv-SE"/>
              </w:rPr>
            </w:pPr>
            <w:r w:rsidRPr="00FD3C3B">
              <w:rPr>
                <w:bCs/>
                <w:spacing w:val="-6"/>
                <w:szCs w:val="28"/>
                <w:lang w:val="sv-SE"/>
              </w:rPr>
              <w:t xml:space="preserve">Công nhân trực tiếp sản xuất đã làm việc liên tục 5 năm trở lên, trong đó có ít nhất 2 năm là chiến sĩ thi đua được cấp tỉnh trở lên công nhận </w:t>
            </w:r>
            <w:r w:rsidRPr="00FD3C3B">
              <w:rPr>
                <w:bCs/>
                <w:spacing w:val="-6"/>
                <w:szCs w:val="28"/>
                <w:lang w:val="sv-SE"/>
              </w:rPr>
              <w:lastRenderedPageBreak/>
              <w:t>và cấp bằng khen.</w:t>
            </w:r>
          </w:p>
        </w:tc>
      </w:tr>
      <w:tr w:rsidR="00140205" w:rsidRPr="0068103B" w:rsidTr="00746FCE">
        <w:tc>
          <w:tcPr>
            <w:tcW w:w="1696" w:type="dxa"/>
          </w:tcPr>
          <w:p w:rsidR="00140205" w:rsidRPr="00FD3C3B" w:rsidRDefault="00140205" w:rsidP="00746FCE">
            <w:pPr>
              <w:pStyle w:val="BodyText"/>
              <w:spacing w:after="0"/>
              <w:ind w:firstLine="0"/>
              <w:jc w:val="center"/>
              <w:rPr>
                <w:bCs/>
                <w:spacing w:val="-6"/>
                <w:szCs w:val="28"/>
                <w:lang w:val="sv-SE"/>
              </w:rPr>
            </w:pPr>
            <w:r w:rsidRPr="00FD3C3B">
              <w:rPr>
                <w:bCs/>
                <w:spacing w:val="-6"/>
                <w:szCs w:val="28"/>
                <w:lang w:val="sv-SE"/>
              </w:rPr>
              <w:lastRenderedPageBreak/>
              <w:t>03</w:t>
            </w:r>
          </w:p>
        </w:tc>
        <w:tc>
          <w:tcPr>
            <w:tcW w:w="7626" w:type="dxa"/>
          </w:tcPr>
          <w:p w:rsidR="00140205" w:rsidRPr="00FD3C3B" w:rsidRDefault="00140205" w:rsidP="00746FCE">
            <w:pPr>
              <w:widowControl w:val="0"/>
              <w:tabs>
                <w:tab w:val="left" w:pos="3780"/>
              </w:tabs>
              <w:spacing w:line="264" w:lineRule="auto"/>
              <w:jc w:val="both"/>
              <w:rPr>
                <w:szCs w:val="28"/>
                <w:lang w:val="sv-SE"/>
              </w:rPr>
            </w:pPr>
            <w:r w:rsidRPr="00FD3C3B">
              <w:rPr>
                <w:szCs w:val="28"/>
                <w:lang w:val="sv-SE"/>
              </w:rPr>
              <w:t>a) Thương binh, bệnh binh, người có "Giấy chứng nhận người được hưởng chính sách như thương binh;</w:t>
            </w:r>
          </w:p>
          <w:p w:rsidR="00140205" w:rsidRPr="00FD3C3B" w:rsidRDefault="00140205" w:rsidP="00746FCE">
            <w:pPr>
              <w:widowControl w:val="0"/>
              <w:tabs>
                <w:tab w:val="left" w:pos="3780"/>
              </w:tabs>
              <w:spacing w:line="264" w:lineRule="auto"/>
              <w:jc w:val="both"/>
              <w:rPr>
                <w:szCs w:val="28"/>
                <w:lang w:val="sv-SE"/>
              </w:rPr>
            </w:pPr>
            <w:r w:rsidRPr="00FD3C3B">
              <w:rPr>
                <w:szCs w:val="28"/>
                <w:lang w:val="sv-SE"/>
              </w:rPr>
              <w:t xml:space="preserve">b) Quân nhân; sĩ quan, hạ sĩ quan, chiến sĩ nghĩa vụ trong Công an nhân </w:t>
            </w:r>
            <w:r w:rsidRPr="00FD3C3B">
              <w:rPr>
                <w:spacing w:val="-2"/>
                <w:szCs w:val="28"/>
                <w:lang w:val="sv-SE"/>
              </w:rPr>
              <w:t>dân tại ngũ được cử đi học có thời gian phục vụ từ 12 tháng trở lên tại Khu vực 1;</w:t>
            </w:r>
          </w:p>
          <w:p w:rsidR="00140205" w:rsidRPr="00FD3C3B" w:rsidRDefault="00140205" w:rsidP="00746FCE">
            <w:pPr>
              <w:widowControl w:val="0"/>
              <w:tabs>
                <w:tab w:val="left" w:pos="3780"/>
              </w:tabs>
              <w:spacing w:line="264" w:lineRule="auto"/>
              <w:jc w:val="both"/>
              <w:rPr>
                <w:szCs w:val="28"/>
                <w:lang w:val="sv-SE"/>
              </w:rPr>
            </w:pPr>
            <w:r w:rsidRPr="00FD3C3B">
              <w:rPr>
                <w:szCs w:val="28"/>
                <w:lang w:val="sv-SE"/>
              </w:rPr>
              <w:t>c) Quân nhân; sĩ quan, hạ sĩ quan, chiến sĩ nghĩa vụ trong Công an nhân dân tại ngũ được cử đi học có thời gian phục vụ từ 18 tháng trở lên;</w:t>
            </w:r>
          </w:p>
          <w:p w:rsidR="00140205" w:rsidRPr="00FD3C3B" w:rsidRDefault="00140205" w:rsidP="00746FCE">
            <w:pPr>
              <w:widowControl w:val="0"/>
              <w:tabs>
                <w:tab w:val="left" w:pos="3780"/>
              </w:tabs>
              <w:spacing w:line="264" w:lineRule="auto"/>
              <w:jc w:val="both"/>
              <w:rPr>
                <w:szCs w:val="28"/>
                <w:lang w:val="sv-SE"/>
              </w:rPr>
            </w:pPr>
            <w:r w:rsidRPr="00FD3C3B">
              <w:rPr>
                <w:szCs w:val="28"/>
                <w:lang w:val="sv-SE"/>
              </w:rPr>
              <w:t>d) Quân nhân; sĩ quan, hạ sĩ quan, chiến sĩ nghĩa vụ trong Công an nhân dân đã xuất ngũ, được công nhận hoàn thành nghĩa vụ phục vụ tại ngũ theo quy định;</w:t>
            </w:r>
          </w:p>
        </w:tc>
      </w:tr>
      <w:tr w:rsidR="00140205" w:rsidRPr="0068103B" w:rsidTr="00746FCE">
        <w:tc>
          <w:tcPr>
            <w:tcW w:w="1696" w:type="dxa"/>
          </w:tcPr>
          <w:p w:rsidR="00140205" w:rsidRPr="00FD3C3B" w:rsidRDefault="00140205" w:rsidP="00746FCE">
            <w:pPr>
              <w:pStyle w:val="BodyText"/>
              <w:spacing w:after="0"/>
              <w:ind w:firstLine="0"/>
              <w:jc w:val="center"/>
              <w:rPr>
                <w:bCs/>
                <w:spacing w:val="-6"/>
                <w:szCs w:val="28"/>
                <w:lang w:val="sv-SE"/>
              </w:rPr>
            </w:pPr>
            <w:r w:rsidRPr="00FD3C3B">
              <w:rPr>
                <w:bCs/>
                <w:spacing w:val="-6"/>
                <w:szCs w:val="28"/>
                <w:lang w:val="sv-SE"/>
              </w:rPr>
              <w:t>04</w:t>
            </w:r>
          </w:p>
        </w:tc>
        <w:tc>
          <w:tcPr>
            <w:tcW w:w="7626" w:type="dxa"/>
          </w:tcPr>
          <w:p w:rsidR="00140205" w:rsidRPr="00FD3C3B" w:rsidRDefault="00140205" w:rsidP="00746FCE">
            <w:pPr>
              <w:pStyle w:val="BodyText"/>
              <w:spacing w:after="0"/>
              <w:ind w:firstLine="0"/>
              <w:rPr>
                <w:bCs/>
                <w:spacing w:val="-6"/>
                <w:szCs w:val="28"/>
                <w:lang w:val="sv-SE"/>
              </w:rPr>
            </w:pPr>
            <w:r w:rsidRPr="00FD3C3B">
              <w:rPr>
                <w:bCs/>
                <w:spacing w:val="-6"/>
                <w:szCs w:val="28"/>
                <w:lang w:val="sv-SE"/>
              </w:rPr>
              <w:t>a) Thân nhân liệt sĩ;</w:t>
            </w:r>
          </w:p>
          <w:p w:rsidR="00140205" w:rsidRPr="00FD3C3B" w:rsidRDefault="00140205" w:rsidP="00746FCE">
            <w:pPr>
              <w:pStyle w:val="BodyText"/>
              <w:spacing w:after="0"/>
              <w:ind w:firstLine="0"/>
              <w:rPr>
                <w:bCs/>
                <w:spacing w:val="-6"/>
                <w:szCs w:val="28"/>
                <w:lang w:val="sv-SE"/>
              </w:rPr>
            </w:pPr>
            <w:r w:rsidRPr="00FD3C3B">
              <w:rPr>
                <w:bCs/>
                <w:spacing w:val="-6"/>
                <w:szCs w:val="28"/>
                <w:lang w:val="sv-SE"/>
              </w:rPr>
              <w:t>b) Con thương binh, con bệnh binh, con của người được hưởng chính sách như thương binh bị suy giảm khả năng lao động từ 81% trở lên;</w:t>
            </w:r>
          </w:p>
          <w:p w:rsidR="00140205" w:rsidRPr="00FD3C3B" w:rsidRDefault="00140205" w:rsidP="00746FCE">
            <w:pPr>
              <w:pStyle w:val="BodyText"/>
              <w:spacing w:after="0"/>
              <w:ind w:firstLine="0"/>
              <w:rPr>
                <w:bCs/>
                <w:spacing w:val="-6"/>
                <w:szCs w:val="28"/>
                <w:lang w:val="sv-SE"/>
              </w:rPr>
            </w:pPr>
            <w:r w:rsidRPr="00FD3C3B">
              <w:rPr>
                <w:bCs/>
                <w:spacing w:val="-6"/>
                <w:szCs w:val="28"/>
                <w:lang w:val="sv-SE"/>
              </w:rPr>
              <w:t>c) Con của người hoạt động kháng chiến bị nhiễm chất độc hóa học bị suy giảm khả năng lao động 81% trở lên;</w:t>
            </w:r>
          </w:p>
          <w:p w:rsidR="00140205" w:rsidRPr="00FD3C3B" w:rsidRDefault="00140205" w:rsidP="00746FCE">
            <w:pPr>
              <w:pStyle w:val="BodyText"/>
              <w:spacing w:after="0"/>
              <w:ind w:firstLine="0"/>
              <w:rPr>
                <w:bCs/>
                <w:spacing w:val="-6"/>
                <w:szCs w:val="28"/>
                <w:lang w:val="sv-SE"/>
              </w:rPr>
            </w:pPr>
            <w:r w:rsidRPr="00FD3C3B">
              <w:rPr>
                <w:bCs/>
                <w:spacing w:val="-6"/>
                <w:szCs w:val="28"/>
                <w:lang w:val="sv-SE"/>
              </w:rPr>
              <w:t xml:space="preserve">d) Con của Anh hùng Lực lượng vũ trang nhân dân; con của Anh hùng Lao động trong thời kỳ kháng chiến; </w:t>
            </w:r>
          </w:p>
          <w:p w:rsidR="00140205" w:rsidRPr="00FD3C3B" w:rsidRDefault="00140205" w:rsidP="00746FCE">
            <w:pPr>
              <w:pStyle w:val="BodyText"/>
              <w:spacing w:after="0"/>
              <w:ind w:firstLine="0"/>
              <w:rPr>
                <w:bCs/>
                <w:spacing w:val="-6"/>
                <w:szCs w:val="28"/>
                <w:lang w:val="sv-SE"/>
              </w:rPr>
            </w:pPr>
            <w:r w:rsidRPr="00FD3C3B">
              <w:rPr>
                <w:bCs/>
                <w:spacing w:val="-6"/>
                <w:szCs w:val="28"/>
                <w:lang w:val="sv-SE"/>
              </w:rPr>
              <w:t>đ) Con của người hoạt động kháng chiến bị dị dạng, dị tật do hậu quả của chất độc hóa học đang hưởng trợ cấp hàng tháng.</w:t>
            </w:r>
          </w:p>
        </w:tc>
      </w:tr>
      <w:tr w:rsidR="00140205" w:rsidRPr="00FD3C3B" w:rsidTr="00746FCE">
        <w:tc>
          <w:tcPr>
            <w:tcW w:w="1696" w:type="dxa"/>
          </w:tcPr>
          <w:p w:rsidR="00140205" w:rsidRPr="00FD3C3B" w:rsidRDefault="00140205" w:rsidP="00746FCE">
            <w:pPr>
              <w:pStyle w:val="BodyText"/>
              <w:spacing w:after="0"/>
              <w:ind w:firstLine="0"/>
              <w:jc w:val="center"/>
              <w:rPr>
                <w:bCs/>
                <w:i/>
                <w:spacing w:val="-6"/>
                <w:szCs w:val="28"/>
                <w:lang w:val="sv-SE"/>
              </w:rPr>
            </w:pPr>
            <w:r w:rsidRPr="00FD3C3B">
              <w:rPr>
                <w:bCs/>
                <w:i/>
                <w:spacing w:val="-6"/>
                <w:szCs w:val="28"/>
                <w:lang w:val="sv-SE"/>
              </w:rPr>
              <w:t>Nhóm UT2</w:t>
            </w:r>
          </w:p>
        </w:tc>
        <w:tc>
          <w:tcPr>
            <w:tcW w:w="7626" w:type="dxa"/>
          </w:tcPr>
          <w:p w:rsidR="00140205" w:rsidRPr="00FD3C3B" w:rsidRDefault="00140205" w:rsidP="00746FCE">
            <w:pPr>
              <w:pStyle w:val="BodyText"/>
              <w:spacing w:after="0"/>
              <w:ind w:firstLine="0"/>
              <w:rPr>
                <w:bCs/>
                <w:spacing w:val="-6"/>
                <w:szCs w:val="28"/>
                <w:lang w:val="sv-SE"/>
              </w:rPr>
            </w:pPr>
          </w:p>
        </w:tc>
      </w:tr>
      <w:tr w:rsidR="00140205" w:rsidRPr="0068103B" w:rsidTr="00746FCE">
        <w:tc>
          <w:tcPr>
            <w:tcW w:w="1696" w:type="dxa"/>
          </w:tcPr>
          <w:p w:rsidR="00140205" w:rsidRPr="00FD3C3B" w:rsidRDefault="00140205" w:rsidP="00746FCE">
            <w:pPr>
              <w:pStyle w:val="BodyText"/>
              <w:spacing w:after="0"/>
              <w:ind w:firstLine="0"/>
              <w:jc w:val="center"/>
              <w:rPr>
                <w:bCs/>
                <w:spacing w:val="-6"/>
                <w:szCs w:val="28"/>
                <w:lang w:val="sv-SE"/>
              </w:rPr>
            </w:pPr>
            <w:r w:rsidRPr="00FD3C3B">
              <w:rPr>
                <w:bCs/>
                <w:spacing w:val="-6"/>
                <w:szCs w:val="28"/>
                <w:lang w:val="sv-SE"/>
              </w:rPr>
              <w:t>05</w:t>
            </w:r>
          </w:p>
        </w:tc>
        <w:tc>
          <w:tcPr>
            <w:tcW w:w="7626" w:type="dxa"/>
          </w:tcPr>
          <w:p w:rsidR="00140205" w:rsidRPr="00FD3C3B" w:rsidRDefault="00140205" w:rsidP="00746FCE">
            <w:pPr>
              <w:pStyle w:val="BodyText"/>
              <w:spacing w:after="0"/>
              <w:ind w:firstLine="0"/>
              <w:rPr>
                <w:bCs/>
                <w:spacing w:val="-6"/>
                <w:szCs w:val="28"/>
                <w:lang w:val="sv-SE"/>
              </w:rPr>
            </w:pPr>
            <w:r w:rsidRPr="00FD3C3B">
              <w:rPr>
                <w:bCs/>
                <w:spacing w:val="-6"/>
                <w:szCs w:val="28"/>
                <w:lang w:val="sv-SE"/>
              </w:rPr>
              <w:t>a) Thanh niên xung phong tập trung được cử đi học;</w:t>
            </w:r>
          </w:p>
          <w:p w:rsidR="00140205" w:rsidRPr="00FD3C3B" w:rsidRDefault="00140205" w:rsidP="00746FCE">
            <w:pPr>
              <w:pStyle w:val="BodyText"/>
              <w:spacing w:after="0"/>
              <w:ind w:firstLine="0"/>
              <w:rPr>
                <w:bCs/>
                <w:spacing w:val="-6"/>
                <w:szCs w:val="28"/>
                <w:lang w:val="sv-SE"/>
              </w:rPr>
            </w:pPr>
            <w:r w:rsidRPr="00FD3C3B">
              <w:rPr>
                <w:bCs/>
                <w:spacing w:val="-6"/>
                <w:szCs w:val="28"/>
                <w:lang w:val="sv-SE"/>
              </w:rPr>
              <w:t>b) Quân nhân; sĩ quan, hạ sĩ quan, chiến sĩ nghĩa vụ trong Công an nhân dân tại ngũ được cử đi học có thời gian phục vụ dưới 12 tháng ở Khu vực 1 và dưới 18 tháng ở khu vực khác;</w:t>
            </w:r>
          </w:p>
          <w:p w:rsidR="00140205" w:rsidRPr="00FD3C3B" w:rsidRDefault="00140205" w:rsidP="00746FCE">
            <w:pPr>
              <w:pStyle w:val="BodyText"/>
              <w:spacing w:after="0"/>
              <w:ind w:firstLine="0"/>
              <w:rPr>
                <w:bCs/>
                <w:spacing w:val="-6"/>
                <w:szCs w:val="28"/>
                <w:lang w:val="sv-SE"/>
              </w:rPr>
            </w:pPr>
            <w:r w:rsidRPr="00FD3C3B">
              <w:rPr>
                <w:bCs/>
                <w:spacing w:val="-6"/>
                <w:szCs w:val="28"/>
                <w:lang w:val="sv-SE"/>
              </w:rPr>
              <w:t>c) Chỉ huy trưởng, Chỉ huy phó ban chỉ huy quân sự xã, phường, thị trấn; Thôn đội trưởng, Trung đội trưởng Dân quân tự vệ nòng cốt, Dân quân tự vệ đã hoàn thành nghĩa vụ tham gia Dân quân tự vệ nòng cốt từ 12 tháng trở lên, dự thi vào ngành Quân sự cơ sở. Thời hạn tối đa được hưởng ưu tiên là 18 tháng kể từ ngày ký quyết định xuất ngũ đến ngày ĐKXT.</w:t>
            </w:r>
          </w:p>
        </w:tc>
      </w:tr>
      <w:tr w:rsidR="00140205" w:rsidRPr="0068103B" w:rsidTr="00746FCE">
        <w:tc>
          <w:tcPr>
            <w:tcW w:w="1696" w:type="dxa"/>
          </w:tcPr>
          <w:p w:rsidR="00140205" w:rsidRPr="00FD3C3B" w:rsidRDefault="00140205" w:rsidP="00746FCE">
            <w:pPr>
              <w:pStyle w:val="BodyText"/>
              <w:spacing w:after="0"/>
              <w:ind w:firstLine="0"/>
              <w:jc w:val="center"/>
              <w:rPr>
                <w:bCs/>
                <w:spacing w:val="-6"/>
                <w:szCs w:val="28"/>
                <w:lang w:val="sv-SE"/>
              </w:rPr>
            </w:pPr>
            <w:r w:rsidRPr="00FD3C3B">
              <w:rPr>
                <w:bCs/>
                <w:spacing w:val="-6"/>
                <w:szCs w:val="28"/>
                <w:lang w:val="sv-SE"/>
              </w:rPr>
              <w:lastRenderedPageBreak/>
              <w:t>06</w:t>
            </w:r>
          </w:p>
        </w:tc>
        <w:tc>
          <w:tcPr>
            <w:tcW w:w="7626" w:type="dxa"/>
          </w:tcPr>
          <w:p w:rsidR="00140205" w:rsidRPr="00FD3C3B" w:rsidRDefault="00140205" w:rsidP="00746FCE">
            <w:pPr>
              <w:pStyle w:val="BodyText"/>
              <w:spacing w:after="0"/>
              <w:ind w:firstLine="0"/>
              <w:rPr>
                <w:bCs/>
                <w:spacing w:val="-6"/>
                <w:szCs w:val="28"/>
                <w:lang w:val="sv-SE"/>
              </w:rPr>
            </w:pPr>
            <w:r w:rsidRPr="00FD3C3B">
              <w:rPr>
                <w:bCs/>
                <w:spacing w:val="-6"/>
                <w:szCs w:val="28"/>
                <w:lang w:val="sv-SE"/>
              </w:rPr>
              <w:t>a) Công dân Việt Nam là người dân tộc thiểu số có nơi thường trú ở ngoài khu vực đã quy định thuộc đối tượng 01;</w:t>
            </w:r>
          </w:p>
          <w:p w:rsidR="00140205" w:rsidRPr="00FD3C3B" w:rsidRDefault="00140205" w:rsidP="00746FCE">
            <w:pPr>
              <w:pStyle w:val="BodyText"/>
              <w:spacing w:after="0"/>
              <w:ind w:firstLine="0"/>
              <w:rPr>
                <w:bCs/>
                <w:spacing w:val="-6"/>
                <w:szCs w:val="28"/>
                <w:lang w:val="sv-SE"/>
              </w:rPr>
            </w:pPr>
            <w:r w:rsidRPr="00FD3C3B">
              <w:rPr>
                <w:bCs/>
                <w:spacing w:val="-6"/>
                <w:szCs w:val="28"/>
                <w:lang w:val="sv-SE"/>
              </w:rPr>
              <w:t>b) Con thương binh, con bệnh binh, con của người được hưởng chính sách như thương binh bị suy giảm khả năng lao động dưới 81%;</w:t>
            </w:r>
          </w:p>
          <w:p w:rsidR="00140205" w:rsidRPr="00FD3C3B" w:rsidRDefault="00140205" w:rsidP="00746FCE">
            <w:pPr>
              <w:pStyle w:val="BodyText"/>
              <w:spacing w:after="0"/>
              <w:ind w:firstLine="0"/>
              <w:rPr>
                <w:bCs/>
                <w:spacing w:val="-6"/>
                <w:szCs w:val="28"/>
                <w:lang w:val="sv-SE"/>
              </w:rPr>
            </w:pPr>
            <w:r w:rsidRPr="00FD3C3B">
              <w:rPr>
                <w:bCs/>
                <w:spacing w:val="-6"/>
                <w:szCs w:val="28"/>
                <w:lang w:val="sv-SE"/>
              </w:rPr>
              <w:t>c) Con của người hoạt động kháng chiến bị nhiễm chất độc hóa học có tỷ lệ suy giảm khả năng lao động dưới 81%.</w:t>
            </w:r>
          </w:p>
        </w:tc>
      </w:tr>
      <w:tr w:rsidR="00140205" w:rsidRPr="0068103B" w:rsidTr="00746FCE">
        <w:tc>
          <w:tcPr>
            <w:tcW w:w="1696" w:type="dxa"/>
          </w:tcPr>
          <w:p w:rsidR="00140205" w:rsidRPr="00FD3C3B" w:rsidRDefault="00140205" w:rsidP="00746FCE">
            <w:pPr>
              <w:pStyle w:val="BodyText"/>
              <w:spacing w:after="0"/>
              <w:ind w:firstLine="0"/>
              <w:jc w:val="center"/>
              <w:rPr>
                <w:bCs/>
                <w:spacing w:val="-6"/>
                <w:szCs w:val="28"/>
                <w:lang w:val="sv-SE"/>
              </w:rPr>
            </w:pPr>
            <w:r w:rsidRPr="00FD3C3B">
              <w:rPr>
                <w:bCs/>
                <w:spacing w:val="-6"/>
                <w:szCs w:val="28"/>
                <w:lang w:val="sv-SE"/>
              </w:rPr>
              <w:t>07</w:t>
            </w:r>
          </w:p>
        </w:tc>
        <w:tc>
          <w:tcPr>
            <w:tcW w:w="7626" w:type="dxa"/>
          </w:tcPr>
          <w:p w:rsidR="00140205" w:rsidRPr="00FD3C3B" w:rsidRDefault="00140205" w:rsidP="00746FCE">
            <w:pPr>
              <w:pStyle w:val="BodyText"/>
              <w:spacing w:after="0"/>
              <w:ind w:firstLine="0"/>
              <w:rPr>
                <w:bCs/>
                <w:spacing w:val="-6"/>
                <w:szCs w:val="28"/>
                <w:lang w:val="sv-SE"/>
              </w:rPr>
            </w:pPr>
            <w:r w:rsidRPr="00FD3C3B">
              <w:rPr>
                <w:bCs/>
                <w:spacing w:val="-6"/>
                <w:szCs w:val="28"/>
                <w:lang w:val="sv-SE"/>
              </w:rPr>
              <w:t>a) Người khuyết tật nặng có giấy xác nhận khuyết tật của cơ quan có thẩm quyền cấp theo quy định tại Thông tư liên tịch số 37/2012/TTLT- BLĐTBXH-BYT-BTC-BGDĐT ngày 28 tháng 12 năm 2012 của Bộ Lao động - Thương binh và Xã hội, Bộ Y tế, Bộ Tài chính và Bộ GDĐT quy định về việc xác định mức độ khuyết tật do Hội đồng xác định mức độ khuyết tật thực hiện;</w:t>
            </w:r>
          </w:p>
          <w:p w:rsidR="00140205" w:rsidRPr="00FD3C3B" w:rsidRDefault="00140205" w:rsidP="00746FCE">
            <w:pPr>
              <w:pStyle w:val="BodyText"/>
              <w:spacing w:after="0"/>
              <w:ind w:firstLine="0"/>
              <w:rPr>
                <w:bCs/>
                <w:spacing w:val="-6"/>
                <w:szCs w:val="28"/>
                <w:lang w:val="sv-SE"/>
              </w:rPr>
            </w:pPr>
            <w:r w:rsidRPr="00FD3C3B">
              <w:rPr>
                <w:bCs/>
                <w:spacing w:val="-6"/>
                <w:szCs w:val="28"/>
                <w:lang w:val="sv-SE"/>
              </w:rPr>
              <w:t>b) Người lao động ưu tú thuộc tất cả thành phần kinh tế từ cấp tỉnh, cấp bộ trở lên được công nhận danh hiệu thợ giỏi, nghệ nhân, được cấp bằng hoặc huy hiệu Lao động sáng tạo của Tổng Liên đoàn Lao động Việt Nam hoặc Trung ương Đoàn TNCS Hồ Chí Minh;</w:t>
            </w:r>
          </w:p>
          <w:p w:rsidR="00140205" w:rsidRPr="00FD3C3B" w:rsidRDefault="00140205" w:rsidP="00746FCE">
            <w:pPr>
              <w:pStyle w:val="BodyText"/>
              <w:spacing w:after="0"/>
              <w:ind w:firstLine="0"/>
              <w:rPr>
                <w:bCs/>
                <w:spacing w:val="-6"/>
                <w:szCs w:val="28"/>
                <w:lang w:val="sv-SE"/>
              </w:rPr>
            </w:pPr>
            <w:r w:rsidRPr="00FD3C3B">
              <w:rPr>
                <w:bCs/>
                <w:spacing w:val="-6"/>
                <w:szCs w:val="28"/>
                <w:lang w:val="sv-SE"/>
              </w:rPr>
              <w:t>c) Giáo viên đã giảng dạy đủ 3 năm trở lên dự tuyển vào các ngành đào tạo giáo viên;</w:t>
            </w:r>
          </w:p>
          <w:p w:rsidR="00140205" w:rsidRPr="00FD3C3B" w:rsidRDefault="00140205" w:rsidP="00746FCE">
            <w:pPr>
              <w:pStyle w:val="BodyText"/>
              <w:spacing w:after="0"/>
              <w:ind w:firstLine="0"/>
              <w:rPr>
                <w:bCs/>
                <w:spacing w:val="-6"/>
                <w:szCs w:val="28"/>
                <w:lang w:val="sv-SE"/>
              </w:rPr>
            </w:pPr>
            <w:r w:rsidRPr="00FD3C3B">
              <w:rPr>
                <w:szCs w:val="28"/>
                <w:lang w:val="sv-SE"/>
              </w:rPr>
              <w:t>d) Y tá, dược tá, hộ lý, y sĩ, điều dưỡng viên, hộ sinh viên, kỹ thuật viên, người có bằng trung cấp Dược đã công tác đủ 3 năm trở lên dự tuyển vào đúng ngành tốt nghiệp thuộc lĩnh vực sức khỏe.</w:t>
            </w:r>
          </w:p>
        </w:tc>
      </w:tr>
    </w:tbl>
    <w:p w:rsidR="009A52CE" w:rsidRDefault="009A52CE"/>
    <w:sectPr w:rsidR="009A5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16"/>
    <w:rsid w:val="00083F4F"/>
    <w:rsid w:val="00140205"/>
    <w:rsid w:val="00607B10"/>
    <w:rsid w:val="00785116"/>
    <w:rsid w:val="0096152F"/>
    <w:rsid w:val="009A52CE"/>
    <w:rsid w:val="00AB4E4D"/>
    <w:rsid w:val="00DE6085"/>
    <w:rsid w:val="00F02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16"/>
    <w:pPr>
      <w:spacing w:before="120"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785116"/>
    <w:pPr>
      <w:spacing w:before="0" w:after="120" w:line="400" w:lineRule="exact"/>
      <w:ind w:firstLine="720"/>
      <w:jc w:val="both"/>
    </w:pPr>
  </w:style>
  <w:style w:type="character" w:customStyle="1" w:styleId="BodyTextChar">
    <w:name w:val="Body Text Char"/>
    <w:basedOn w:val="DefaultParagraphFont"/>
    <w:link w:val="BodyText"/>
    <w:uiPriority w:val="1"/>
    <w:rsid w:val="00785116"/>
    <w:rPr>
      <w:rFonts w:ascii="Times New Roman" w:eastAsia="Times New Roman" w:hAnsi="Times New Roman" w:cs="Times New Roman"/>
      <w:sz w:val="28"/>
      <w:szCs w:val="24"/>
    </w:rPr>
  </w:style>
  <w:style w:type="paragraph" w:customStyle="1" w:styleId="iu">
    <w:name w:val="Điều"/>
    <w:basedOn w:val="BodyText"/>
    <w:autoRedefine/>
    <w:qFormat/>
    <w:rsid w:val="00DE6085"/>
    <w:pPr>
      <w:widowControl w:val="0"/>
      <w:spacing w:after="0"/>
      <w:ind w:right="57"/>
      <w:jc w:val="left"/>
    </w:pPr>
    <w:rPr>
      <w:b/>
      <w:color w:val="0000FF"/>
      <w:szCs w:val="28"/>
      <w:lang w:val="sv-SE"/>
    </w:rPr>
  </w:style>
  <w:style w:type="table" w:styleId="TableGrid">
    <w:name w:val="Table Grid"/>
    <w:basedOn w:val="TableNormal"/>
    <w:uiPriority w:val="59"/>
    <w:unhideWhenUsed/>
    <w:rsid w:val="0014020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16"/>
    <w:pPr>
      <w:spacing w:before="120"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785116"/>
    <w:pPr>
      <w:spacing w:before="0" w:after="120" w:line="400" w:lineRule="exact"/>
      <w:ind w:firstLine="720"/>
      <w:jc w:val="both"/>
    </w:pPr>
  </w:style>
  <w:style w:type="character" w:customStyle="1" w:styleId="BodyTextChar">
    <w:name w:val="Body Text Char"/>
    <w:basedOn w:val="DefaultParagraphFont"/>
    <w:link w:val="BodyText"/>
    <w:uiPriority w:val="1"/>
    <w:rsid w:val="00785116"/>
    <w:rPr>
      <w:rFonts w:ascii="Times New Roman" w:eastAsia="Times New Roman" w:hAnsi="Times New Roman" w:cs="Times New Roman"/>
      <w:sz w:val="28"/>
      <w:szCs w:val="24"/>
    </w:rPr>
  </w:style>
  <w:style w:type="paragraph" w:customStyle="1" w:styleId="iu">
    <w:name w:val="Điều"/>
    <w:basedOn w:val="BodyText"/>
    <w:autoRedefine/>
    <w:qFormat/>
    <w:rsid w:val="00DE6085"/>
    <w:pPr>
      <w:widowControl w:val="0"/>
      <w:spacing w:after="0"/>
      <w:ind w:right="57"/>
      <w:jc w:val="left"/>
    </w:pPr>
    <w:rPr>
      <w:b/>
      <w:color w:val="0000FF"/>
      <w:szCs w:val="28"/>
      <w:lang w:val="sv-SE"/>
    </w:rPr>
  </w:style>
  <w:style w:type="table" w:styleId="TableGrid">
    <w:name w:val="Table Grid"/>
    <w:basedOn w:val="TableNormal"/>
    <w:uiPriority w:val="59"/>
    <w:unhideWhenUsed/>
    <w:rsid w:val="0014020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hoangyenalone@yahoo.com</dc:creator>
  <cp:lastModifiedBy>PNc</cp:lastModifiedBy>
  <cp:revision>2</cp:revision>
  <dcterms:created xsi:type="dcterms:W3CDTF">2022-06-23T07:02:00Z</dcterms:created>
  <dcterms:modified xsi:type="dcterms:W3CDTF">2022-06-23T07:02:00Z</dcterms:modified>
</cp:coreProperties>
</file>